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8373" w14:textId="4C549454" w:rsidR="000C3927" w:rsidRPr="00BF5208" w:rsidRDefault="000C3927" w:rsidP="000C3927">
      <w:pPr>
        <w:spacing w:after="200" w:line="276" w:lineRule="auto"/>
        <w:ind w:right="10"/>
        <w:jc w:val="left"/>
        <w:rPr>
          <w:rStyle w:val="PargrafoChar"/>
          <w:rFonts w:ascii="Montserrat" w:hAnsi="Montserrat"/>
          <w:b/>
          <w:bCs/>
          <w:u w:val="single"/>
          <w:lang w:val="la-Latn"/>
        </w:rPr>
      </w:pPr>
      <w:r w:rsidRPr="00BF5208">
        <w:rPr>
          <w:rFonts w:ascii="Montserrat" w:hAnsi="Montserrat"/>
          <w:b/>
          <w:bCs/>
          <w:color w:val="156082" w:themeColor="accent1"/>
          <w:sz w:val="28"/>
          <w:szCs w:val="28"/>
          <w:lang w:val="la-Latn"/>
        </w:rPr>
        <w:t xml:space="preserve">Anexo 2 </w:t>
      </w:r>
      <w:r>
        <w:rPr>
          <w:rFonts w:ascii="Montserrat" w:hAnsi="Montserrat"/>
          <w:b/>
          <w:bCs/>
          <w:color w:val="156082" w:themeColor="accent1"/>
          <w:sz w:val="28"/>
          <w:szCs w:val="28"/>
          <w:lang w:val="la-Latn"/>
        </w:rPr>
        <w:t>do Ofício Circular 003/2026-VPC</w:t>
      </w:r>
      <w:r w:rsidR="00D269BE">
        <w:rPr>
          <w:rFonts w:ascii="Montserrat" w:hAnsi="Montserrat"/>
          <w:b/>
          <w:bCs/>
          <w:color w:val="156082" w:themeColor="accent1"/>
          <w:sz w:val="28"/>
          <w:szCs w:val="28"/>
          <w:lang w:val="la-Latn"/>
        </w:rPr>
        <w:t xml:space="preserve"> </w:t>
      </w:r>
      <w:r w:rsidRPr="00BF5208">
        <w:rPr>
          <w:rFonts w:ascii="Montserrat" w:hAnsi="Montserrat"/>
          <w:b/>
          <w:bCs/>
          <w:color w:val="156082" w:themeColor="accent1"/>
          <w:sz w:val="28"/>
          <w:szCs w:val="28"/>
          <w:lang w:val="la-Latn"/>
        </w:rPr>
        <w:t>- Termo de Adesão ao Programa de Incentivo para Novos Investidores Não Residentes</w:t>
      </w:r>
    </w:p>
    <w:p w14:paraId="7F74D107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</w:rPr>
        <w:t xml:space="preserve">Pelo presente instrumento, o(a) [razão social do Investidor], com sede na [endereço], inscrito(a) no CNPJ sob o nº [0000000000], e código CVM [XXXXX], neste ato devidamente representado(a) na forma de seu estatuto social, declara que </w:t>
      </w: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</w:rPr>
        <w:t>(i)</w:t>
      </w:r>
      <w:r w:rsidRPr="00BF5208">
        <w:rPr>
          <w:rFonts w:ascii="Montserrat" w:eastAsia="Montserrat" w:hAnsi="Montserrat" w:cs="Montserrat"/>
          <w:color w:val="0E2841" w:themeColor="text2"/>
          <w:szCs w:val="24"/>
        </w:rPr>
        <w:t xml:space="preserve"> não negociou ou possui posição em aberto no Listado B3 em período superior a 150 (cento e cinquenta) dias e nos 24 (vinte e quatro) meses anteriores ao início de seu vínculo com este Programa de Incentivo. Caso o interessado ultrapasse o prazo de 150 (cento e cinquenta) dias após a primeira participação em pregão para solicitar a entrada neste incentivo, poderá entrar no Programa de Onboarding a critério exclusivo da B3, mediante justificativa apresentada; </w:t>
      </w: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</w:rPr>
        <w:t>(</w:t>
      </w:r>
      <w:proofErr w:type="spellStart"/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</w:rPr>
        <w:t>ii</w:t>
      </w:r>
      <w:proofErr w:type="spellEnd"/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</w:rPr>
        <w:t xml:space="preserve">) </w:t>
      </w:r>
      <w:r w:rsidRPr="00BF5208">
        <w:rPr>
          <w:rFonts w:ascii="Montserrat" w:eastAsia="Montserrat" w:hAnsi="Montserrat" w:cs="Montserrat"/>
          <w:color w:val="0E2841" w:themeColor="text2"/>
          <w:szCs w:val="24"/>
        </w:rPr>
        <w:t xml:space="preserve">se for operar no mercado à vista de renda variável, manterá o mínimo de 70% (setenta por cento) de operações </w:t>
      </w:r>
      <w:proofErr w:type="spellStart"/>
      <w:r w:rsidRPr="00BF5208">
        <w:rPr>
          <w:rFonts w:ascii="Montserrat" w:eastAsia="Montserrat" w:hAnsi="Montserrat" w:cs="Montserrat"/>
          <w:color w:val="0E2841" w:themeColor="text2"/>
          <w:szCs w:val="24"/>
        </w:rPr>
        <w:t>day</w:t>
      </w:r>
      <w:proofErr w:type="spellEnd"/>
      <w:r w:rsidRPr="00BF5208">
        <w:rPr>
          <w:rFonts w:ascii="Montserrat" w:eastAsia="Montserrat" w:hAnsi="Montserrat" w:cs="Montserrat"/>
          <w:color w:val="0E2841" w:themeColor="text2"/>
          <w:szCs w:val="24"/>
        </w:rPr>
        <w:t xml:space="preserve"> trade em base de apuração mensal, podendo indicar até 40 (quarenta) ativos que irão compor esse grupo de produtos; </w:t>
      </w: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</w:rPr>
        <w:t>(</w:t>
      </w:r>
      <w:proofErr w:type="spellStart"/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</w:rPr>
        <w:t>iii</w:t>
      </w:r>
      <w:proofErr w:type="spellEnd"/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</w:rPr>
        <w:t>)</w:t>
      </w:r>
      <w:r w:rsidRPr="00BF5208">
        <w:rPr>
          <w:rFonts w:ascii="Montserrat" w:eastAsia="Montserrat" w:hAnsi="Montserrat" w:cs="Montserrat"/>
          <w:color w:val="0E2841" w:themeColor="text2"/>
          <w:szCs w:val="24"/>
        </w:rPr>
        <w:t xml:space="preserve"> se for operar no mercado de opções ou futuros de ações, poderá indicar até 30 (trinta) ativos-objeto que irão compor esse grupo de produtos; </w:t>
      </w: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</w:rPr>
        <w:t>(</w:t>
      </w:r>
      <w:proofErr w:type="spellStart"/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</w:rPr>
        <w:t>iv</w:t>
      </w:r>
      <w:proofErr w:type="spellEnd"/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</w:rPr>
        <w:t>)</w:t>
      </w:r>
      <w:r w:rsidRPr="00BF5208">
        <w:rPr>
          <w:rFonts w:ascii="Montserrat" w:eastAsia="Montserrat" w:hAnsi="Montserrat" w:cs="Montserrat"/>
          <w:color w:val="0E2841" w:themeColor="text2"/>
          <w:szCs w:val="24"/>
        </w:rPr>
        <w:t xml:space="preserve"> não faz parte de grupo econômico ou possui vínculo de gestão em comum com Investidores que não cumprem o item (i); e </w:t>
      </w: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</w:rPr>
        <w:t>(v)</w:t>
      </w:r>
      <w:r w:rsidRPr="00BF5208">
        <w:rPr>
          <w:rFonts w:ascii="Montserrat" w:eastAsia="Montserrat" w:hAnsi="Montserrat" w:cs="Montserrat"/>
          <w:color w:val="0E2841" w:themeColor="text2"/>
          <w:szCs w:val="24"/>
        </w:rPr>
        <w:t xml:space="preserve"> tem ciência do disposto no Regimento do Programa de Incentivo para Novos Investidores Não Residentes, comprometendo-se a respeitar e cumprir todos os procedimentos e regras nele contidos, estando ciente de que o descumprimento desses procedimentos e dessas regras resultará na perda do direito da franquia, além de cobrança retroativa descrita no item 5 do referido Regimento.</w:t>
      </w:r>
    </w:p>
    <w:p w14:paraId="3F83FC4B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 xml:space="preserve">E-mail do solicitante: </w:t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________________________________</w:t>
      </w:r>
    </w:p>
    <w:p w14:paraId="4572A1BD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Modalidade de acesso</w:t>
      </w:r>
    </w:p>
    <w:p w14:paraId="59B396FE" w14:textId="77777777" w:rsidR="000C3927" w:rsidRPr="00BF5208" w:rsidRDefault="000C3927" w:rsidP="000C3927">
      <w:pPr>
        <w:spacing w:after="160" w:line="276" w:lineRule="auto"/>
        <w:rPr>
          <w:rFonts w:ascii="Montserrat" w:eastAsia="Montserrat" w:hAnsi="Montserrat" w:cs="Montserrat"/>
          <w:color w:val="4B4F54"/>
          <w:szCs w:val="24"/>
        </w:rPr>
      </w:pPr>
      <w:proofErr w:type="gramStart"/>
      <w:r w:rsidRPr="00BF5208">
        <w:rPr>
          <w:rFonts w:ascii="Montserrat" w:eastAsia="Montserrat" w:hAnsi="Montserrat" w:cs="Montserrat"/>
          <w:color w:val="4B4F54"/>
          <w:szCs w:val="24"/>
        </w:rPr>
        <w:t xml:space="preserve">(  </w:t>
      </w:r>
      <w:proofErr w:type="gramEnd"/>
      <w:r w:rsidRPr="00BF5208">
        <w:rPr>
          <w:rFonts w:ascii="Montserrat" w:eastAsia="Montserrat" w:hAnsi="Montserrat" w:cs="Montserrat"/>
          <w:color w:val="4B4F54"/>
          <w:szCs w:val="24"/>
        </w:rPr>
        <w:t xml:space="preserve">     </w:t>
      </w:r>
      <w:proofErr w:type="gramStart"/>
      <w:r w:rsidRPr="00BF5208">
        <w:rPr>
          <w:rFonts w:ascii="Montserrat" w:eastAsia="Montserrat" w:hAnsi="Montserrat" w:cs="Montserrat"/>
          <w:color w:val="4B4F54"/>
          <w:szCs w:val="24"/>
        </w:rPr>
        <w:t xml:space="preserve">  )</w:t>
      </w:r>
      <w:proofErr w:type="gramEnd"/>
      <w:r w:rsidRPr="00BF5208">
        <w:rPr>
          <w:rFonts w:ascii="Montserrat" w:hAnsi="Montserrat"/>
          <w:szCs w:val="24"/>
        </w:rPr>
        <w:tab/>
      </w:r>
      <w:r w:rsidRPr="00BF5208">
        <w:rPr>
          <w:rFonts w:ascii="Montserrat" w:eastAsia="Montserrat" w:hAnsi="Montserrat" w:cs="Montserrat"/>
          <w:color w:val="4B4F54"/>
          <w:szCs w:val="24"/>
        </w:rPr>
        <w:t xml:space="preserve">Modalidade 1: </w:t>
      </w:r>
      <w:r w:rsidRPr="00BF5208">
        <w:rPr>
          <w:rFonts w:ascii="Montserrat" w:eastAsiaTheme="minorEastAsia" w:hAnsi="Montserrat"/>
          <w:color w:val="4B4F54"/>
          <w:szCs w:val="24"/>
        </w:rPr>
        <w:t xml:space="preserve">Investidor que negocie na B3 derivativos agropecuários por meio de conta específica anteriormente </w:t>
      </w:r>
      <w:r w:rsidRPr="00BF5208">
        <w:rPr>
          <w:rFonts w:ascii="Montserrat" w:eastAsiaTheme="minorEastAsia" w:hAnsi="Montserrat"/>
          <w:color w:val="4B4F54"/>
          <w:szCs w:val="24"/>
        </w:rPr>
        <w:lastRenderedPageBreak/>
        <w:t xml:space="preserve">regulamentada pela Resolução CMN 2.687, revogada pela Resolução Conjunta BCB-CVM  13/2024.  </w:t>
      </w:r>
    </w:p>
    <w:p w14:paraId="59B4651D" w14:textId="77777777" w:rsidR="000C3927" w:rsidRPr="00BF5208" w:rsidRDefault="000C3927" w:rsidP="000C3927">
      <w:pPr>
        <w:spacing w:after="160" w:line="276" w:lineRule="auto"/>
        <w:rPr>
          <w:rFonts w:ascii="Montserrat" w:eastAsia="Aptos" w:hAnsi="Montserrat" w:cs="Aptos"/>
          <w:szCs w:val="24"/>
        </w:rPr>
      </w:pPr>
      <w:r w:rsidRPr="00BF5208">
        <w:rPr>
          <w:rFonts w:ascii="Montserrat" w:eastAsia="Montserrat" w:hAnsi="Montserrat" w:cs="Montserrat"/>
          <w:color w:val="4B4F54"/>
          <w:szCs w:val="24"/>
        </w:rPr>
        <w:t>(</w:t>
      </w:r>
      <w:r w:rsidRPr="00BF5208">
        <w:rPr>
          <w:rFonts w:ascii="Montserrat" w:hAnsi="Montserrat"/>
          <w:szCs w:val="24"/>
        </w:rPr>
        <w:tab/>
      </w:r>
      <w:r w:rsidRPr="00BF5208">
        <w:rPr>
          <w:rFonts w:ascii="Montserrat" w:eastAsia="Montserrat" w:hAnsi="Montserrat" w:cs="Montserrat"/>
          <w:color w:val="4B4F54"/>
          <w:szCs w:val="24"/>
        </w:rPr>
        <w:t>)</w:t>
      </w:r>
      <w:r w:rsidRPr="00BF5208">
        <w:rPr>
          <w:rFonts w:ascii="Montserrat" w:hAnsi="Montserrat"/>
          <w:szCs w:val="24"/>
        </w:rPr>
        <w:tab/>
      </w:r>
      <w:r w:rsidRPr="00BF5208">
        <w:rPr>
          <w:rFonts w:ascii="Montserrat" w:eastAsia="Montserrat" w:hAnsi="Montserrat" w:cs="Montserrat"/>
          <w:color w:val="4B4F54"/>
          <w:szCs w:val="24"/>
        </w:rPr>
        <w:t xml:space="preserve">Modalidade 2: </w:t>
      </w:r>
      <w:r w:rsidRPr="00BF5208">
        <w:rPr>
          <w:rFonts w:ascii="Montserrat" w:eastAsiaTheme="minorEastAsia" w:hAnsi="Montserrat"/>
          <w:color w:val="4B4F54"/>
          <w:szCs w:val="24"/>
        </w:rPr>
        <w:t xml:space="preserve">Investidor que negocie na B3 por meio de conta anteriormente regulamentada pela Resolução CMN 4.373, revogada pela Resolução Conjunta BCB-CVM 13/2024, que envie ordens de negociação de fora do ambiente de </w:t>
      </w:r>
      <w:proofErr w:type="spellStart"/>
      <w:r w:rsidRPr="00BF5208">
        <w:rPr>
          <w:rFonts w:ascii="Montserrat" w:eastAsiaTheme="minorEastAsia" w:hAnsi="Montserrat"/>
          <w:color w:val="4B4F54"/>
          <w:szCs w:val="24"/>
        </w:rPr>
        <w:t>co-location</w:t>
      </w:r>
      <w:proofErr w:type="spellEnd"/>
      <w:r w:rsidRPr="00BF5208">
        <w:rPr>
          <w:rFonts w:ascii="Montserrat" w:eastAsiaTheme="minorEastAsia" w:hAnsi="Montserrat"/>
          <w:color w:val="4B4F54"/>
          <w:szCs w:val="24"/>
        </w:rPr>
        <w:t xml:space="preserve"> da B3, utilizando sistemas próprios, da corretora ou de provedor.</w:t>
      </w:r>
    </w:p>
    <w:p w14:paraId="7897F760" w14:textId="77777777" w:rsidR="000C3927" w:rsidRPr="00BF5208" w:rsidRDefault="000C3927" w:rsidP="000C3927">
      <w:pPr>
        <w:spacing w:after="160" w:line="276" w:lineRule="auto"/>
        <w:rPr>
          <w:rFonts w:ascii="Montserrat" w:eastAsiaTheme="minorEastAsia" w:hAnsi="Montserrat"/>
          <w:color w:val="4B4F54"/>
          <w:szCs w:val="24"/>
        </w:rPr>
      </w:pPr>
      <w:r w:rsidRPr="00BF5208">
        <w:rPr>
          <w:rFonts w:ascii="Montserrat" w:eastAsia="Montserrat" w:hAnsi="Montserrat" w:cs="Montserrat"/>
          <w:color w:val="4B4F54"/>
          <w:szCs w:val="24"/>
        </w:rPr>
        <w:t>(</w:t>
      </w:r>
      <w:r w:rsidRPr="00BF5208">
        <w:rPr>
          <w:rFonts w:ascii="Montserrat" w:hAnsi="Montserrat"/>
          <w:szCs w:val="24"/>
        </w:rPr>
        <w:tab/>
      </w:r>
      <w:r w:rsidRPr="00BF5208">
        <w:rPr>
          <w:rFonts w:ascii="Montserrat" w:eastAsia="Montserrat" w:hAnsi="Montserrat" w:cs="Montserrat"/>
          <w:color w:val="4B4F54"/>
          <w:szCs w:val="24"/>
        </w:rPr>
        <w:t>)</w:t>
      </w:r>
      <w:r w:rsidRPr="00BF5208">
        <w:rPr>
          <w:rFonts w:ascii="Montserrat" w:hAnsi="Montserrat"/>
          <w:szCs w:val="24"/>
        </w:rPr>
        <w:tab/>
      </w:r>
      <w:r w:rsidRPr="00BF5208">
        <w:rPr>
          <w:rFonts w:ascii="Montserrat" w:eastAsia="Montserrat" w:hAnsi="Montserrat" w:cs="Montserrat"/>
          <w:color w:val="4B4F54"/>
          <w:szCs w:val="24"/>
        </w:rPr>
        <w:t xml:space="preserve">Modalidade 3: </w:t>
      </w:r>
      <w:r w:rsidRPr="00BF5208">
        <w:rPr>
          <w:rFonts w:ascii="Montserrat" w:eastAsiaTheme="minorEastAsia" w:hAnsi="Montserrat"/>
          <w:color w:val="4B4F54"/>
          <w:szCs w:val="24"/>
        </w:rPr>
        <w:t xml:space="preserve">Investidor que negocie na B3 por meio de conta anteriormente regulamentada pela Resolução CMN 4.373, revogada pela Resolução Conjunta BCB-CVM 13/2024, que envie ordens de negociação de dentro da estrutura de </w:t>
      </w:r>
      <w:proofErr w:type="spellStart"/>
      <w:r w:rsidRPr="00BF5208">
        <w:rPr>
          <w:rFonts w:ascii="Montserrat" w:eastAsiaTheme="minorEastAsia" w:hAnsi="Montserrat"/>
          <w:color w:val="4B4F54"/>
          <w:szCs w:val="24"/>
        </w:rPr>
        <w:t>co-location</w:t>
      </w:r>
      <w:proofErr w:type="spellEnd"/>
      <w:r w:rsidRPr="00BF5208">
        <w:rPr>
          <w:rFonts w:ascii="Montserrat" w:eastAsiaTheme="minorEastAsia" w:hAnsi="Montserrat"/>
          <w:color w:val="4B4F54"/>
          <w:szCs w:val="24"/>
        </w:rPr>
        <w:t xml:space="preserve"> da B3, utilizando sistemas próprios existentes em sua(s) unidade(s) de hospedagem contratada(s) diretamente da B3 ou por meio da corretora.</w:t>
      </w:r>
    </w:p>
    <w:p w14:paraId="78FA2904" w14:textId="77777777" w:rsidR="000C3927" w:rsidRDefault="000C3927" w:rsidP="000C3927">
      <w:pPr>
        <w:spacing w:before="120" w:after="120" w:line="360" w:lineRule="auto"/>
        <w:rPr>
          <w:rFonts w:ascii="Montserrat" w:eastAsia="Montserrat" w:hAnsi="Montserrat" w:cs="Montserrat"/>
          <w:color w:val="4B4F54"/>
          <w:szCs w:val="24"/>
        </w:rPr>
      </w:pPr>
    </w:p>
    <w:p w14:paraId="30046422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Tipo de conta</w:t>
      </w:r>
    </w:p>
    <w:p w14:paraId="3382328F" w14:textId="77777777" w:rsidR="000C3927" w:rsidRPr="00BF5208" w:rsidRDefault="000C3927" w:rsidP="000C3927">
      <w:pPr>
        <w:tabs>
          <w:tab w:val="left" w:pos="426"/>
        </w:tabs>
        <w:spacing w:before="120" w:after="120" w:line="360" w:lineRule="auto"/>
        <w:ind w:left="709" w:hanging="56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</w:t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-Latn"/>
        </w:rPr>
        <w:t xml:space="preserve">    </w:t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)</w:t>
      </w:r>
      <w:r w:rsidRPr="00BF5208">
        <w:rPr>
          <w:rFonts w:ascii="Montserrat" w:hAnsi="Montserrat"/>
          <w:szCs w:val="24"/>
        </w:rPr>
        <w:tab/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Titular de conta própria</w:t>
      </w:r>
    </w:p>
    <w:p w14:paraId="24DA795C" w14:textId="77777777" w:rsidR="000C3927" w:rsidRPr="00BF5208" w:rsidRDefault="000C3927" w:rsidP="000C3927">
      <w:pPr>
        <w:tabs>
          <w:tab w:val="left" w:pos="426"/>
        </w:tabs>
        <w:spacing w:before="120" w:after="120" w:line="360" w:lineRule="auto"/>
        <w:ind w:left="709" w:hanging="56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</w:t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-Latn"/>
        </w:rPr>
        <w:t xml:space="preserve">    </w:t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)</w:t>
      </w:r>
      <w:r w:rsidRPr="00BF5208">
        <w:rPr>
          <w:rFonts w:ascii="Montserrat" w:hAnsi="Montserrat"/>
          <w:szCs w:val="24"/>
        </w:rPr>
        <w:tab/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Participante de conta coletiva</w:t>
      </w:r>
    </w:p>
    <w:p w14:paraId="6C6E76FE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-Latn"/>
        </w:rPr>
        <w:t xml:space="preserve"> </w:t>
      </w:r>
    </w:p>
    <w:p w14:paraId="64D7CD6E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Número da(s) conta(s)</w:t>
      </w:r>
    </w:p>
    <w:p w14:paraId="45F0E92D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______________________________________</w:t>
      </w:r>
    </w:p>
    <w:p w14:paraId="462E329F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[indicar quantas contas forem necessárias]</w:t>
      </w:r>
    </w:p>
    <w:p w14:paraId="7558DE57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Conta a ser utilizada para eventual cobrança retroativa, descrita no item 5 do referido Regimento:</w:t>
      </w:r>
    </w:p>
    <w:p w14:paraId="6D56B4FA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_______________________________________________________________</w:t>
      </w:r>
    </w:p>
    <w:p w14:paraId="3269C0F3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Selecione abaixo os produtos a serem considerados para fins do Programa de Incentivo.</w:t>
      </w:r>
    </w:p>
    <w:p w14:paraId="1E1BF3EF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Grupo de Juros</w:t>
      </w:r>
    </w:p>
    <w:p w14:paraId="3169E082" w14:textId="77777777" w:rsidR="000C3927" w:rsidRPr="00BF5208" w:rsidRDefault="000C3927" w:rsidP="000C3927">
      <w:pPr>
        <w:tabs>
          <w:tab w:val="left" w:pos="426"/>
        </w:tabs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)  Contrato Futuro de Taxa Média de Depósitos Interfinanceiros de um Dia (DI1)</w:t>
      </w:r>
    </w:p>
    <w:p w14:paraId="45D6960C" w14:textId="77777777" w:rsidR="000C3927" w:rsidRPr="00BF5208" w:rsidRDefault="000C3927" w:rsidP="000C3927">
      <w:pPr>
        <w:tabs>
          <w:tab w:val="left" w:pos="426"/>
        </w:tabs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)  Contrato Futuro de Cupom IPCA (DAP)</w:t>
      </w:r>
    </w:p>
    <w:p w14:paraId="54471463" w14:textId="77777777" w:rsidR="000C3927" w:rsidRPr="00BF5208" w:rsidRDefault="000C3927" w:rsidP="000C3927">
      <w:pPr>
        <w:tabs>
          <w:tab w:val="left" w:pos="426"/>
        </w:tabs>
        <w:spacing w:before="120" w:after="120" w:line="360" w:lineRule="auto"/>
        <w:ind w:left="426" w:hanging="426"/>
        <w:rPr>
          <w:rFonts w:ascii="Montserrat" w:hAnsi="Montserrat"/>
          <w:szCs w:val="24"/>
        </w:rPr>
      </w:pPr>
      <w:proofErr w:type="gramStart"/>
      <w:r w:rsidRPr="00BF5208">
        <w:rPr>
          <w:rFonts w:ascii="Montserrat" w:eastAsia="Montserrat" w:hAnsi="Montserrat" w:cs="Montserrat"/>
          <w:color w:val="4B4F54"/>
          <w:szCs w:val="24"/>
        </w:rPr>
        <w:lastRenderedPageBreak/>
        <w:t xml:space="preserve">(  </w:t>
      </w:r>
      <w:proofErr w:type="gramEnd"/>
      <w:r w:rsidRPr="00BF5208">
        <w:rPr>
          <w:rFonts w:ascii="Montserrat" w:eastAsia="Montserrat" w:hAnsi="Montserrat" w:cs="Montserrat"/>
          <w:color w:val="4B4F54"/>
          <w:szCs w:val="24"/>
        </w:rPr>
        <w:t xml:space="preserve"> )</w:t>
      </w:r>
      <w:r w:rsidRPr="00BF5208">
        <w:rPr>
          <w:rFonts w:ascii="Montserrat" w:hAnsi="Montserrat"/>
          <w:szCs w:val="24"/>
        </w:rPr>
        <w:tab/>
      </w:r>
      <w:r w:rsidRPr="00BF5208">
        <w:rPr>
          <w:rFonts w:ascii="Montserrat" w:eastAsia="Montserrat" w:hAnsi="Montserrat" w:cs="Montserrat"/>
          <w:color w:val="4B4F54"/>
          <w:szCs w:val="24"/>
        </w:rPr>
        <w:t>Opções de Compra e de Venda sobre Índice de Taxa Média de Depósitos Interfinanceiros de Um Dia (IDI)</w:t>
      </w:r>
    </w:p>
    <w:p w14:paraId="45E6057D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) Operação Estruturada de FRA de DI1 (DIF)</w:t>
      </w:r>
    </w:p>
    <w:p w14:paraId="246D58FD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) Operação Estruturada de Inclinação de DI1 (DII)</w:t>
      </w:r>
    </w:p>
    <w:p w14:paraId="11FBADD1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) Operação Estruturada de FRA de DAP (DAF)</w:t>
      </w:r>
    </w:p>
    <w:p w14:paraId="7F47DE79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) Operação Estruturada de Inclinação de DAP (DAI)</w:t>
      </w:r>
    </w:p>
    <w:p w14:paraId="032EC6F7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) Operações Estruturadas de Forward Rate Agreement de Cupom Cambial (FRC)</w:t>
      </w:r>
    </w:p>
    <w:p w14:paraId="3493A0B6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) Operação Estruturada de Inclinação de FRC (FRI)</w:t>
      </w:r>
    </w:p>
    <w:p w14:paraId="1E893BB1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) Operações Estruturadas de Forward Rate Agreement de Cupom Cambial (FRF)</w:t>
      </w:r>
    </w:p>
    <w:p w14:paraId="11C3AA0E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 xml:space="preserve">Grupo de Criptoativos </w:t>
      </w:r>
    </w:p>
    <w:p w14:paraId="1A5F89C5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) Futuro de Bitcoin em Reais (BIT)</w:t>
      </w:r>
    </w:p>
    <w:p w14:paraId="5E350442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) Rolagem de Futuro de Bitcoin (BT1)</w:t>
      </w:r>
    </w:p>
    <w:p w14:paraId="32F152EF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Grupo de Moedas</w:t>
      </w:r>
    </w:p>
    <w:p w14:paraId="6F07776F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Reais por Dólar Comercial (DOL)</w:t>
      </w:r>
    </w:p>
    <w:p w14:paraId="0C7DCAA6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Mini de Taxa de Câmbio de Reais por Dólar Comercial (WDO)</w:t>
      </w:r>
    </w:p>
    <w:p w14:paraId="50D3F661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Operações Estruturadas de Rolagem de Dólar (DR1)</w:t>
      </w:r>
    </w:p>
    <w:p w14:paraId="6E9FCA4A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Operações Estruturadas de Rolagem de Minicontrato de Dólar Comercial (WD1)</w:t>
      </w:r>
    </w:p>
    <w:p w14:paraId="03207E09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Dólar Australiano (AUS)</w:t>
      </w:r>
    </w:p>
    <w:p w14:paraId="108FCA35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 xml:space="preserve">(    ) Contrato Futuro de Taxa de Câmbio de Dólar por Dólar Canadense (CAN) </w:t>
      </w:r>
    </w:p>
    <w:p w14:paraId="774D09CD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lastRenderedPageBreak/>
        <w:t>(    ) Contrato Futuro de Taxa de Câmbio de Dólar por Dólar da Nova Zelândia (NZL)</w:t>
      </w:r>
    </w:p>
    <w:p w14:paraId="617DF74E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Euro (EUP)</w:t>
      </w:r>
    </w:p>
    <w:p w14:paraId="388552AA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Franco Suíço (SWI)</w:t>
      </w:r>
    </w:p>
    <w:p w14:paraId="6DC109BD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Iene Japonês (JAP)</w:t>
      </w:r>
    </w:p>
    <w:p w14:paraId="219F8A87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Iuan Chinês (CNH)</w:t>
      </w:r>
    </w:p>
    <w:p w14:paraId="0092220E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Libra Esterlina (GBR)</w:t>
      </w:r>
    </w:p>
    <w:p w14:paraId="013131BB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Lira Turca (TUQ)</w:t>
      </w:r>
    </w:p>
    <w:p w14:paraId="574D80B7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Peso Argentino (ARS)</w:t>
      </w:r>
    </w:p>
    <w:p w14:paraId="534FD125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Peso Chileno (CHL)</w:t>
      </w:r>
    </w:p>
    <w:p w14:paraId="38174FCF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Peso Mexicano (MEX)</w:t>
      </w:r>
    </w:p>
    <w:p w14:paraId="715D8A18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Rande da África do Sul (AFS)</w:t>
      </w:r>
    </w:p>
    <w:p w14:paraId="2C87A904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Coroa Norueguesa (NOK)</w:t>
      </w:r>
    </w:p>
    <w:p w14:paraId="6B6BC050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Coroa Sueca (SEK)</w:t>
      </w:r>
    </w:p>
    <w:p w14:paraId="1FBDB04E" w14:textId="77777777" w:rsidR="000C3927" w:rsidRPr="00BF5208" w:rsidRDefault="000C3927" w:rsidP="000C3927">
      <w:pPr>
        <w:spacing w:before="120" w:after="120" w:line="360" w:lineRule="auto"/>
        <w:jc w:val="left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Taxa de Câmbio de Dólar por Rublo Russo (RUB)</w:t>
      </w:r>
    </w:p>
    <w:p w14:paraId="4B2161E6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Grupo de Renda Variável</w:t>
      </w:r>
    </w:p>
    <w:p w14:paraId="5AB58BEB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lastRenderedPageBreak/>
        <w:t xml:space="preserve">(   ) Ativos do mercado à vista (ações, BDRs, ETFs, units, cotas de fundos, bônus de subscrição, recibos de subscrição, direitos de subscrição) – indicar abaixo </w:t>
      </w: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até</w:t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 xml:space="preserve"> </w:t>
      </w: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 xml:space="preserve">40 </w:t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(quarenta) ativos:</w:t>
      </w:r>
    </w:p>
    <w:p w14:paraId="01C5AEA3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____________________________________________________________________________________</w:t>
      </w:r>
    </w:p>
    <w:p w14:paraId="17C944C9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Ibovespa (IND)</w:t>
      </w:r>
    </w:p>
    <w:p w14:paraId="1F6094E3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Mini de Ibovespa (WIN)</w:t>
      </w:r>
    </w:p>
    <w:p w14:paraId="573C85FB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Opções de Compra e de Venda sobre Ibovespa (IBOV)</w:t>
      </w:r>
    </w:p>
    <w:p w14:paraId="47ECCCE5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Operações Estruturadas de Rolagem de Ibovespa (IR1)</w:t>
      </w:r>
    </w:p>
    <w:p w14:paraId="627D3772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Operações Estruturadas de Rolagem de Minicontrato de Ibovespa (WI1)</w:t>
      </w:r>
    </w:p>
    <w:p w14:paraId="78C4EA7A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Futuro de Small Cap (SML)</w:t>
      </w:r>
    </w:p>
    <w:p w14:paraId="356430E6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Rolagem do Futuro de Small Cap (SM1)</w:t>
      </w:r>
    </w:p>
    <w:p w14:paraId="5FB4B4A7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Opções de Compra e de Venda sobre Índice Small Cap (SMLL)</w:t>
      </w:r>
    </w:p>
    <w:p w14:paraId="3283675A" w14:textId="77777777" w:rsidR="000C3927" w:rsidRPr="00BF5208" w:rsidRDefault="000C3927" w:rsidP="000C3927">
      <w:pPr>
        <w:spacing w:before="120" w:after="120" w:line="360" w:lineRule="auto"/>
        <w:ind w:left="426" w:hanging="426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 xml:space="preserve">(    ) Futuros de Ações – indicar abaixo </w:t>
      </w: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até</w:t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 xml:space="preserve"> </w:t>
      </w: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30</w:t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 xml:space="preserve"> (trinta) ativos-objeto: </w:t>
      </w:r>
    </w:p>
    <w:p w14:paraId="7620A4C2" w14:textId="77777777" w:rsidR="000C3927" w:rsidRPr="00BF5208" w:rsidRDefault="000C3927" w:rsidP="000C3927">
      <w:pPr>
        <w:spacing w:before="120" w:after="120" w:line="360" w:lineRule="auto"/>
        <w:ind w:left="426" w:hanging="426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_____________________________________________________________________________________</w:t>
      </w:r>
    </w:p>
    <w:p w14:paraId="5D5DA81A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-Latn"/>
        </w:rPr>
        <w:t xml:space="preserve"> </w:t>
      </w:r>
    </w:p>
    <w:p w14:paraId="6D06D093" w14:textId="77777777" w:rsidR="000C3927" w:rsidRPr="00BF5208" w:rsidRDefault="000C3927" w:rsidP="000C3927">
      <w:pPr>
        <w:spacing w:before="120" w:after="120" w:line="360" w:lineRule="auto"/>
        <w:ind w:left="426" w:hanging="426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 xml:space="preserve">(    ) Opções de Ações, Opções de BDRs e Opções de ETFs – indicar abaixo </w:t>
      </w: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até</w:t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 xml:space="preserve"> </w:t>
      </w: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30</w:t>
      </w: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 xml:space="preserve"> (trinta) ativos-objeto: </w:t>
      </w:r>
    </w:p>
    <w:p w14:paraId="397C7D28" w14:textId="77777777" w:rsidR="000C3927" w:rsidRPr="00BF5208" w:rsidRDefault="000C3927" w:rsidP="000C3927">
      <w:pPr>
        <w:spacing w:before="120" w:after="120" w:line="360" w:lineRule="auto"/>
        <w:ind w:left="426" w:hanging="426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_____________________________________________________________________________________</w:t>
      </w:r>
    </w:p>
    <w:p w14:paraId="77DA34C7" w14:textId="77777777" w:rsidR="000C3927" w:rsidRPr="00BF5208" w:rsidRDefault="000C3927" w:rsidP="000C3927">
      <w:pPr>
        <w:spacing w:before="120" w:after="120" w:line="360" w:lineRule="auto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b/>
          <w:bCs/>
          <w:color w:val="0E2841" w:themeColor="text2"/>
          <w:szCs w:val="24"/>
          <w:lang w:val="la"/>
        </w:rPr>
        <w:t>Grupo de Commodities</w:t>
      </w:r>
    </w:p>
    <w:p w14:paraId="0927C0EA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Boi Gordo com Liquidação Financeira (BGI)</w:t>
      </w:r>
    </w:p>
    <w:p w14:paraId="552085FB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Milho com Liquidação Financeira (CCM)</w:t>
      </w:r>
    </w:p>
    <w:p w14:paraId="5BC0D821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Café Arábica 4/5 (ICF)</w:t>
      </w:r>
    </w:p>
    <w:p w14:paraId="1030640D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(    ) Contrato Futuro de Etanol Hidratado (ETH)</w:t>
      </w:r>
    </w:p>
    <w:p w14:paraId="2B7AF614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-Latn"/>
        </w:rPr>
        <w:lastRenderedPageBreak/>
        <w:t xml:space="preserve"> </w:t>
      </w:r>
    </w:p>
    <w:p w14:paraId="273F2F50" w14:textId="77777777" w:rsidR="000C3927" w:rsidRPr="00BF5208" w:rsidRDefault="000C3927" w:rsidP="000C3927">
      <w:pPr>
        <w:spacing w:before="120" w:after="120" w:line="360" w:lineRule="auto"/>
        <w:ind w:left="357" w:hanging="357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-Latn"/>
        </w:rPr>
        <w:t xml:space="preserve"> </w:t>
      </w:r>
    </w:p>
    <w:p w14:paraId="3E06E5EE" w14:textId="77777777" w:rsidR="000C3927" w:rsidRPr="00BF5208" w:rsidRDefault="000C3927" w:rsidP="000C3927">
      <w:pPr>
        <w:spacing w:before="120" w:after="120" w:line="360" w:lineRule="auto"/>
        <w:jc w:val="center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[local], [data]</w:t>
      </w:r>
    </w:p>
    <w:p w14:paraId="29AFBB72" w14:textId="77777777" w:rsidR="000C3927" w:rsidRPr="00BF5208" w:rsidRDefault="000C3927" w:rsidP="000C3927">
      <w:pPr>
        <w:spacing w:before="120" w:after="120" w:line="360" w:lineRule="auto"/>
        <w:jc w:val="center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__________________________________________</w:t>
      </w:r>
    </w:p>
    <w:p w14:paraId="55B6D20A" w14:textId="77777777" w:rsidR="000C3927" w:rsidRPr="00BF5208" w:rsidRDefault="000C3927" w:rsidP="000C3927">
      <w:pPr>
        <w:spacing w:before="120" w:after="120" w:line="360" w:lineRule="auto"/>
        <w:jc w:val="center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[Nome e assinatura do Investidor]</w:t>
      </w:r>
    </w:p>
    <w:p w14:paraId="61A4AA5D" w14:textId="77777777" w:rsidR="000C3927" w:rsidRPr="00BF5208" w:rsidRDefault="000C3927" w:rsidP="000C3927">
      <w:pPr>
        <w:spacing w:before="120" w:after="120" w:line="360" w:lineRule="auto"/>
        <w:jc w:val="center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-Latn"/>
        </w:rPr>
        <w:t xml:space="preserve"> </w:t>
      </w:r>
    </w:p>
    <w:p w14:paraId="05289EBC" w14:textId="77777777" w:rsidR="000C3927" w:rsidRPr="00BF5208" w:rsidRDefault="000C3927" w:rsidP="000C3927">
      <w:pPr>
        <w:spacing w:before="120" w:after="120" w:line="360" w:lineRule="auto"/>
        <w:jc w:val="center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_____________________________________________</w:t>
      </w:r>
    </w:p>
    <w:p w14:paraId="025E49D3" w14:textId="77777777" w:rsidR="000C3927" w:rsidRPr="00BF5208" w:rsidRDefault="000C3927" w:rsidP="000C3927">
      <w:pPr>
        <w:spacing w:before="120" w:after="120" w:line="360" w:lineRule="auto"/>
        <w:jc w:val="center"/>
        <w:rPr>
          <w:rFonts w:ascii="Montserrat" w:hAnsi="Montserrat"/>
          <w:szCs w:val="24"/>
        </w:rPr>
      </w:pPr>
      <w:r w:rsidRPr="00BF5208">
        <w:rPr>
          <w:rFonts w:ascii="Montserrat" w:eastAsia="Montserrat" w:hAnsi="Montserrat" w:cs="Montserrat"/>
          <w:color w:val="0E2841" w:themeColor="text2"/>
          <w:szCs w:val="24"/>
          <w:lang w:val="la"/>
        </w:rPr>
        <w:t>[Nome e assinatura do Participante de Negociação Pleno (PNP), Participante de Liquidação (PL) ou do Participante de Negociação (PN)]</w:t>
      </w:r>
    </w:p>
    <w:p w14:paraId="7642C79D" w14:textId="77777777" w:rsidR="000C3927" w:rsidRPr="00BF5208" w:rsidRDefault="000C3927" w:rsidP="000C3927">
      <w:pPr>
        <w:spacing w:before="120" w:after="120" w:line="360" w:lineRule="auto"/>
        <w:jc w:val="center"/>
        <w:rPr>
          <w:rFonts w:ascii="Montserrat" w:eastAsia="Montserrat" w:hAnsi="Montserrat" w:cs="Montserrat"/>
          <w:color w:val="0E2841" w:themeColor="text2"/>
          <w:szCs w:val="24"/>
          <w:lang w:val="la"/>
        </w:rPr>
      </w:pPr>
    </w:p>
    <w:p w14:paraId="383D4853" w14:textId="77777777" w:rsidR="00A23C4F" w:rsidRPr="000C3927" w:rsidRDefault="00A23C4F">
      <w:pPr>
        <w:rPr>
          <w:lang w:val="la"/>
        </w:rPr>
      </w:pPr>
    </w:p>
    <w:sectPr w:rsidR="00A23C4F" w:rsidRPr="000C3927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1938" w14:textId="77777777" w:rsidR="009F1F15" w:rsidRDefault="009F1F15" w:rsidP="000C3927">
      <w:r>
        <w:separator/>
      </w:r>
    </w:p>
  </w:endnote>
  <w:endnote w:type="continuationSeparator" w:id="0">
    <w:p w14:paraId="7633BF3C" w14:textId="77777777" w:rsidR="009F1F15" w:rsidRDefault="009F1F15" w:rsidP="000C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4A59" w14:textId="46A4CC52" w:rsidR="000C3927" w:rsidRDefault="000C3927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3F3D61" wp14:editId="1A5F55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18130" cy="345440"/>
              <wp:effectExtent l="0" t="0" r="1270" b="0"/>
              <wp:wrapNone/>
              <wp:docPr id="1661740599" name="Caixa de Texto 2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0DBAA" w14:textId="0757CB13" w:rsidR="000C3927" w:rsidRPr="000C3927" w:rsidRDefault="000C3927" w:rsidP="000C39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39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F3D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INTERNA – INTERNAL INFORMATION" style="position:absolute;left:0;text-align:left;margin-left:0;margin-top:0;width:221.9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2E0DBAA" w14:textId="0757CB13" w:rsidR="000C3927" w:rsidRPr="000C3927" w:rsidRDefault="000C3927" w:rsidP="000C39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392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EA59" w14:textId="728C78BB" w:rsidR="000C3927" w:rsidRDefault="000C3927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00A243" wp14:editId="676622C6">
              <wp:simplePos x="10763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18130" cy="345440"/>
              <wp:effectExtent l="0" t="0" r="1270" b="0"/>
              <wp:wrapNone/>
              <wp:docPr id="622801071" name="Caixa de Texto 3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6B938" w14:textId="237C63F9" w:rsidR="000C3927" w:rsidRPr="000C3927" w:rsidRDefault="000C3927" w:rsidP="000C39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39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0A24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INTERNA – INTERNAL INFORMATION" style="position:absolute;left:0;text-align:left;margin-left:0;margin-top:0;width:221.9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886B938" w14:textId="237C63F9" w:rsidR="000C3927" w:rsidRPr="000C3927" w:rsidRDefault="000C3927" w:rsidP="000C39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392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6F1C" w14:textId="19CA6B31" w:rsidR="000C3927" w:rsidRDefault="000C3927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7EE902" wp14:editId="451B27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18130" cy="345440"/>
              <wp:effectExtent l="0" t="0" r="1270" b="0"/>
              <wp:wrapNone/>
              <wp:docPr id="1781572643" name="Caixa de Texto 1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2F38A" w14:textId="50E5D664" w:rsidR="000C3927" w:rsidRPr="000C3927" w:rsidRDefault="000C3927" w:rsidP="000C39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39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EE90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INTERNA – INTERNAL INFORMATION" style="position:absolute;left:0;text-align:left;margin-left:0;margin-top:0;width:221.9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D22F38A" w14:textId="50E5D664" w:rsidR="000C3927" w:rsidRPr="000C3927" w:rsidRDefault="000C3927" w:rsidP="000C39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392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905A" w14:textId="77777777" w:rsidR="009F1F15" w:rsidRDefault="009F1F15" w:rsidP="000C3927">
      <w:r>
        <w:separator/>
      </w:r>
    </w:p>
  </w:footnote>
  <w:footnote w:type="continuationSeparator" w:id="0">
    <w:p w14:paraId="3540EBBA" w14:textId="77777777" w:rsidR="009F1F15" w:rsidRDefault="009F1F15" w:rsidP="000C3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27"/>
    <w:rsid w:val="000C3927"/>
    <w:rsid w:val="009F1F15"/>
    <w:rsid w:val="00A23C4F"/>
    <w:rsid w:val="00A715F8"/>
    <w:rsid w:val="00D269BE"/>
    <w:rsid w:val="00D8336F"/>
    <w:rsid w:val="00E3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CD32"/>
  <w15:chartTrackingRefBased/>
  <w15:docId w15:val="{EF8DACAE-D0DA-4B77-A11A-F2AF8CCF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27"/>
    <w:pPr>
      <w:spacing w:after="0" w:line="240" w:lineRule="auto"/>
      <w:jc w:val="both"/>
    </w:pPr>
    <w:rPr>
      <w:color w:val="000000" w:themeColor="text1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C392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392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927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3927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3927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3927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3927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3927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392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3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3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3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39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3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39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3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3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3927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C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3927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C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392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C39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3927"/>
    <w:pPr>
      <w:spacing w:after="160" w:line="278" w:lineRule="auto"/>
      <w:ind w:left="720"/>
      <w:contextualSpacing/>
      <w:jc w:val="left"/>
    </w:pPr>
    <w:rPr>
      <w:color w:val="auto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C39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3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39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3927"/>
    <w:rPr>
      <w:b/>
      <w:bCs/>
      <w:smallCaps/>
      <w:color w:val="0F4761" w:themeColor="accent1" w:themeShade="BF"/>
      <w:spacing w:val="5"/>
    </w:rPr>
  </w:style>
  <w:style w:type="paragraph" w:customStyle="1" w:styleId="Pargrafo">
    <w:name w:val="Parágrafo"/>
    <w:basedOn w:val="Normal"/>
    <w:link w:val="PargrafoChar"/>
    <w:qFormat/>
    <w:locked/>
    <w:rsid w:val="000C3927"/>
    <w:pPr>
      <w:spacing w:before="240" w:after="240" w:line="360" w:lineRule="auto"/>
    </w:pPr>
    <w:rPr>
      <w:szCs w:val="24"/>
      <w:lang w:val="en-US"/>
    </w:rPr>
  </w:style>
  <w:style w:type="character" w:customStyle="1" w:styleId="PargrafoChar">
    <w:name w:val="Parágrafo Char"/>
    <w:basedOn w:val="Fontepargpadro"/>
    <w:link w:val="Pargrafo"/>
    <w:rsid w:val="000C3927"/>
    <w:rPr>
      <w:color w:val="000000" w:themeColor="text1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C39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927"/>
    <w:rPr>
      <w:color w:val="000000" w:themeColor="text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aeda764-ac5d-4c78-8b24-fe1405747852}" enabled="1" method="Standard" siteId="{f9cfd8cb-c4a5-4677-b65d-3150dda31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1091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Luis Martins Da Silva</dc:creator>
  <cp:keywords/>
  <dc:description/>
  <cp:lastModifiedBy>Danilo Luis Martins Da Silva</cp:lastModifiedBy>
  <cp:revision>2</cp:revision>
  <dcterms:created xsi:type="dcterms:W3CDTF">2026-01-30T13:38:00Z</dcterms:created>
  <dcterms:modified xsi:type="dcterms:W3CDTF">2026-01-30T13:45:00Z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6a30a423,630c2637,251f30af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INTERNA – INTERNAL INFORMATION</vt:lpwstr>
  </property>
</Properties>
</file>