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5EB7" w14:textId="52B42442" w:rsidR="000E3156" w:rsidRPr="000E3156" w:rsidRDefault="000E3156" w:rsidP="000E3156">
      <w:pPr>
        <w:spacing w:before="120" w:after="120" w:line="360" w:lineRule="auto"/>
        <w:ind w:right="10"/>
        <w:rPr>
          <w:rFonts w:ascii="Montserrat" w:eastAsia="Segoe UI" w:hAnsi="Montserrat" w:cs="Times New Roman"/>
          <w:b/>
          <w:bCs/>
          <w:color w:val="00145F"/>
          <w:kern w:val="0"/>
          <w:sz w:val="28"/>
          <w:szCs w:val="28"/>
          <w:lang w:val="la-Latn"/>
          <w14:ligatures w14:val="none"/>
        </w:rPr>
      </w:pPr>
      <w:r w:rsidRPr="000E3156">
        <w:rPr>
          <w:rFonts w:ascii="Montserrat" w:eastAsia="Segoe UI" w:hAnsi="Montserrat" w:cs="Times New Roman"/>
          <w:b/>
          <w:bCs/>
          <w:color w:val="00145F"/>
          <w:kern w:val="0"/>
          <w:sz w:val="28"/>
          <w:szCs w:val="28"/>
          <w:lang w:val="la-Latn"/>
          <w14:ligatures w14:val="none"/>
        </w:rPr>
        <w:t>Anexo 3</w:t>
      </w:r>
      <w:r>
        <w:rPr>
          <w:rFonts w:ascii="Montserrat" w:eastAsia="Segoe UI" w:hAnsi="Montserrat" w:cs="Times New Roman"/>
          <w:b/>
          <w:bCs/>
          <w:color w:val="00145F"/>
          <w:kern w:val="0"/>
          <w:sz w:val="28"/>
          <w:szCs w:val="28"/>
          <w:lang w:val="la-Latn"/>
          <w14:ligatures w14:val="none"/>
        </w:rPr>
        <w:t xml:space="preserve"> </w:t>
      </w:r>
      <w:r w:rsidRPr="000E3156">
        <w:rPr>
          <w:rFonts w:ascii="Montserrat" w:eastAsia="Segoe UI" w:hAnsi="Montserrat" w:cs="Times New Roman"/>
          <w:b/>
          <w:bCs/>
          <w:color w:val="00145F"/>
          <w:kern w:val="0"/>
          <w:sz w:val="28"/>
          <w:szCs w:val="28"/>
          <w:lang w:val="la-Latn"/>
          <w14:ligatures w14:val="none"/>
        </w:rPr>
        <w:t>do Ofício Circular 124/2025-PRE - Termo de adesão do operador ao Programa de Incentivo para Novos Operadores Não Residentes - Ciclo 2026</w:t>
      </w:r>
    </w:p>
    <w:p w14:paraId="70B85B88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00145F"/>
          <w:kern w:val="0"/>
          <w:lang w:val="la-Latn"/>
          <w14:ligatures w14:val="none"/>
        </w:rPr>
      </w:pPr>
    </w:p>
    <w:p w14:paraId="6B9C746D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Uma cópia do passaporte ou de documento equivalente com foto deve acompanhar todas as solicitações.</w:t>
      </w:r>
    </w:p>
    <w:p w14:paraId="6C2B7BE5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szCs w:val="22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Nome: __________________________________________________________</w:t>
      </w:r>
    </w:p>
    <w:p w14:paraId="5B3CFB99" w14:textId="77777777" w:rsidR="000E3156" w:rsidRPr="000E3156" w:rsidRDefault="000E3156" w:rsidP="000E3156">
      <w:pPr>
        <w:tabs>
          <w:tab w:val="center" w:pos="3718"/>
          <w:tab w:val="left" w:pos="4427"/>
          <w:tab w:val="left" w:pos="5135"/>
        </w:tabs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szCs w:val="22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Sobrenome: _____________________________________________________</w:t>
      </w:r>
    </w:p>
    <w:p w14:paraId="4D8CFCB7" w14:textId="77777777" w:rsidR="000E3156" w:rsidRPr="000E3156" w:rsidRDefault="000E3156" w:rsidP="000E3156">
      <w:pPr>
        <w:spacing w:before="120" w:after="120" w:line="360" w:lineRule="auto"/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Data de nascimento (MM/DD/YYYY): _____________________________</w:t>
      </w:r>
    </w:p>
    <w:p w14:paraId="34C7D40B" w14:textId="77777777" w:rsidR="000E3156" w:rsidRPr="000E3156" w:rsidRDefault="000E3156" w:rsidP="000E3156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País de origem: __________________________________________________</w:t>
      </w:r>
    </w:p>
    <w:p w14:paraId="711E827C" w14:textId="77777777" w:rsidR="000E3156" w:rsidRPr="000E3156" w:rsidRDefault="000E3156" w:rsidP="000E3156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:szCs w:val="22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Número do passaporte ou documento equivalente: _______________________</w:t>
      </w:r>
    </w:p>
    <w:p w14:paraId="3A80BCBE" w14:textId="77777777" w:rsidR="000E3156" w:rsidRPr="000E3156" w:rsidRDefault="000E3156" w:rsidP="000E3156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Tempo de experiência com negociação de mercados listados: _____________</w:t>
      </w:r>
    </w:p>
    <w:p w14:paraId="77D59BDD" w14:textId="77777777" w:rsidR="000E3156" w:rsidRPr="000E3156" w:rsidRDefault="000E3156" w:rsidP="000E3156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:szCs w:val="22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Histórico profissional como operador em outros mercados (se aplicável):</w:t>
      </w:r>
    </w:p>
    <w:p w14:paraId="58C95B21" w14:textId="77777777" w:rsidR="000E3156" w:rsidRPr="000E3156" w:rsidRDefault="000E3156" w:rsidP="000E3156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Período</w:t>
      </w:r>
      <w:r w:rsidRPr="000E3156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 xml:space="preserve">, Mercado, </w:t>
      </w: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Produtos</w:t>
      </w:r>
      <w:r w:rsidRPr="000E3156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:_____________________</w:t>
      </w:r>
    </w:p>
    <w:p w14:paraId="3FB9E5EB" w14:textId="77777777" w:rsidR="000E3156" w:rsidRPr="000E3156" w:rsidRDefault="000E3156" w:rsidP="000E3156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Período</w:t>
      </w:r>
      <w:r w:rsidRPr="000E3156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 xml:space="preserve">, Mercado, </w:t>
      </w: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Produtos</w:t>
      </w:r>
      <w:r w:rsidRPr="000E3156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:_____________________</w:t>
      </w:r>
    </w:p>
    <w:p w14:paraId="59B6358C" w14:textId="77777777" w:rsidR="000E3156" w:rsidRPr="000E3156" w:rsidRDefault="000E3156" w:rsidP="000E3156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Período</w:t>
      </w:r>
      <w:r w:rsidRPr="000E3156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 xml:space="preserve">, Mercado, </w:t>
      </w: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Produtos</w:t>
      </w:r>
      <w:r w:rsidRPr="000E3156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:_____________________</w:t>
      </w:r>
    </w:p>
    <w:p w14:paraId="3E311925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Empresa: ______________________________________________________</w:t>
      </w:r>
    </w:p>
    <w:p w14:paraId="7C9E7FBF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Local: __________________________________________________________</w:t>
      </w:r>
    </w:p>
    <w:p w14:paraId="6797C463" w14:textId="77777777" w:rsidR="000E3156" w:rsidRPr="000E3156" w:rsidRDefault="000E3156" w:rsidP="000E3156">
      <w:pPr>
        <w:pBdr>
          <w:bottom w:val="single" w:sz="12" w:space="1" w:color="000000"/>
        </w:pBd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</w:pPr>
    </w:p>
    <w:p w14:paraId="4455E980" w14:textId="77777777" w:rsidR="000E3156" w:rsidRPr="000E3156" w:rsidRDefault="000E3156" w:rsidP="000E3156">
      <w:pPr>
        <w:pBdr>
          <w:bottom w:val="single" w:sz="12" w:space="1" w:color="000000"/>
        </w:pBd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Contas transitórias e definitivas que serão usadas no Programa Novos Operadores - Ciclo 2026:</w:t>
      </w:r>
    </w:p>
    <w:p w14:paraId="2EEB9DAE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Conta a ser utilizada para eventual cobrança retroativa dos pontos consumidos no Programa Novos Operadores Ciclo 2026:</w:t>
      </w:r>
    </w:p>
    <w:p w14:paraId="200CEF4F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lastRenderedPageBreak/>
        <w:t>_______________________________________________________________________________________</w:t>
      </w:r>
    </w:p>
    <w:p w14:paraId="2B456E09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 xml:space="preserve"> </w:t>
      </w:r>
    </w:p>
    <w:p w14:paraId="219B1BEC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szCs w:val="22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Indicação dos produtos contemplados no Programa Novos Operadores - Ciclo 2026:</w:t>
      </w:r>
    </w:p>
    <w:p w14:paraId="568AFF9B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Contrato Futuro de Taxa Média de Depósitos Interfinanceiros de um dia (DI1);</w:t>
      </w:r>
    </w:p>
    <w:p w14:paraId="2D7CB31A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Futuro de Cupom IPCA (DAP);</w:t>
      </w:r>
    </w:p>
    <w:p w14:paraId="23EFC576" w14:textId="77777777" w:rsidR="000E3156" w:rsidRPr="000E3156" w:rsidRDefault="000E3156" w:rsidP="000E3156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 xml:space="preserve">(  ) Operações Estruturadas de Forward Rate Agreement de Cupom Cambial </w:t>
      </w:r>
    </w:p>
    <w:p w14:paraId="4077119D" w14:textId="77777777" w:rsidR="000E3156" w:rsidRPr="000E3156" w:rsidRDefault="000E3156" w:rsidP="000E3156">
      <w:pPr>
        <w:tabs>
          <w:tab w:val="left" w:pos="284"/>
        </w:tabs>
        <w:spacing w:before="120" w:after="120" w:line="360" w:lineRule="auto"/>
        <w:ind w:left="284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(FRC);</w:t>
      </w:r>
    </w:p>
    <w:p w14:paraId="32EB9465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Contrato Futuro de Taxa de Câmbio de Reais por Dólar Comercial (DOL);</w:t>
      </w:r>
    </w:p>
    <w:p w14:paraId="12A8B0CC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szCs w:val="22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(  ) Contrato Futuro Mini de Taxa de Câmbio de Reais por Dólar Comercial (WDO);</w:t>
      </w:r>
    </w:p>
    <w:p w14:paraId="6C934E3C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Operações Estruturadas de Rolagem de Dólar Comercial (DR1);</w:t>
      </w:r>
    </w:p>
    <w:p w14:paraId="6A2D429D" w14:textId="77777777" w:rsidR="000E3156" w:rsidRPr="000E3156" w:rsidRDefault="000E3156" w:rsidP="000E3156">
      <w:pPr>
        <w:spacing w:before="120" w:after="120" w:line="360" w:lineRule="auto"/>
        <w:ind w:left="284" w:hanging="284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Operações Estruturadas de Rolagem de Minicontrato de Dólar Comercial (WD1);</w:t>
      </w:r>
    </w:p>
    <w:p w14:paraId="656173C0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Contrato Futuro de Ibovespa (IND);</w:t>
      </w:r>
    </w:p>
    <w:p w14:paraId="66A26A1C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szCs w:val="22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(  ) Contrato Futuro Mini de Ibovespa (WIN);</w:t>
      </w:r>
    </w:p>
    <w:p w14:paraId="7FCD9A72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Operações Estruturadas de Rolagem de Ibovespa (IR1);</w:t>
      </w:r>
    </w:p>
    <w:p w14:paraId="0DAB054C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Operações Estruturadas de Rolagem de Minicontrato de Ibovespa (WI1);</w:t>
      </w:r>
    </w:p>
    <w:p w14:paraId="74F6EE14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Contrato Futuro de Café Arábica 4/5 (ICF);</w:t>
      </w:r>
    </w:p>
    <w:p w14:paraId="40185B51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Contrato Futuro de Boi Gordo (BGI);</w:t>
      </w:r>
    </w:p>
    <w:p w14:paraId="01741B8E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Contrato Futuro de Etanol Hidratado (ETH);</w:t>
      </w:r>
    </w:p>
    <w:p w14:paraId="5E51C3FE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Contrato Futuro de Milho (CCM);</w:t>
      </w:r>
    </w:p>
    <w:p w14:paraId="01D8C3F7" w14:textId="77777777" w:rsidR="000E3156" w:rsidRPr="000E3156" w:rsidRDefault="000E3156" w:rsidP="000E3156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:szCs w:val="22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lastRenderedPageBreak/>
        <w:t>(  ) Ativos do mercado à vista (ações, BDRs, ETFs, units, cotas de fundos, bônus de subscrição, recibos de subscrição e direitos de subscrição);</w:t>
      </w:r>
    </w:p>
    <w:p w14:paraId="73E28DC1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Opções sobre Ações; e</w:t>
      </w:r>
    </w:p>
    <w:p w14:paraId="556519B4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(  ) Opções sobre Índices (IBOV11 e BOVA11).</w:t>
      </w:r>
    </w:p>
    <w:p w14:paraId="2297F139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 xml:space="preserve"> </w:t>
      </w:r>
    </w:p>
    <w:p w14:paraId="3A0DE196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b/>
          <w:bCs/>
          <w:color w:val="4B5055"/>
          <w:kern w:val="0"/>
          <w:lang w:val="la-Latn"/>
          <w14:ligatures w14:val="none"/>
        </w:rPr>
        <w:t>Atestado e autorização</w:t>
      </w:r>
    </w:p>
    <w:p w14:paraId="41941514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 xml:space="preserve">Reconheço e aceito cumprir (a) os requisitos do Programa de Incentivo para Novos Operadores Não Residentes - Ciclo 2026 dispostos neste regulamento e descritos abaixo, bem como (b) as regras, os normativos e as políticas da B3. </w:t>
      </w:r>
      <w:r w:rsidRPr="000E3156">
        <w:rPr>
          <w:rFonts w:ascii="Segoe UI" w:eastAsia="Segoe UI" w:hAnsi="Segoe UI" w:cs="Times New Roman"/>
          <w:color w:val="4B5055"/>
          <w:kern w:val="0"/>
          <w:szCs w:val="22"/>
          <w14:ligatures w14:val="none"/>
        </w:rPr>
        <w:br/>
      </w:r>
      <w:bookmarkStart w:id="0" w:name="_Hlk217293987"/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 xml:space="preserve">Declaro que o operador: </w:t>
      </w:r>
    </w:p>
    <w:p w14:paraId="68F97515" w14:textId="77777777" w:rsidR="000E3156" w:rsidRPr="000E3156" w:rsidRDefault="000E3156" w:rsidP="000E3156">
      <w:pPr>
        <w:spacing w:before="120" w:after="120" w:line="360" w:lineRule="auto"/>
        <w:ind w:left="360"/>
        <w:contextualSpacing/>
        <w:jc w:val="both"/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  <w:t xml:space="preserve">(   ) Não participou dos ciclos anteriores ao Ciclo 2026 do Programa Novos Operadores, mesmo que vinculado a outra firma, </w:t>
      </w:r>
    </w:p>
    <w:p w14:paraId="450D9825" w14:textId="77777777" w:rsidR="000E3156" w:rsidRPr="000E3156" w:rsidRDefault="000E3156" w:rsidP="000E3156">
      <w:pPr>
        <w:spacing w:before="120" w:after="120" w:line="360" w:lineRule="auto"/>
        <w:ind w:left="360"/>
        <w:contextualSpacing/>
        <w:jc w:val="both"/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  <w:t>(   ) Não negocia com alta frequência e modelos de negociação sistemático.</w:t>
      </w:r>
    </w:p>
    <w:p w14:paraId="3592A466" w14:textId="77777777" w:rsidR="000E3156" w:rsidRPr="000E3156" w:rsidRDefault="000E3156" w:rsidP="000E3156">
      <w:pPr>
        <w:spacing w:before="120" w:after="120" w:line="360" w:lineRule="auto"/>
        <w:ind w:left="360"/>
        <w:contextualSpacing/>
        <w:jc w:val="both"/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  <w:t>(   ) Não tem experiência prévia em negociação nos produtos elegíveis negociados nos mercados administrados pela B3, descritos no item 2. Considera-se operador com experiência prévia aquele que já tenha realizado qualquer tipo de operação envolvendo os produtos elegíveis nos mercados administrados pela B3.</w:t>
      </w:r>
    </w:p>
    <w:bookmarkEnd w:id="0"/>
    <w:p w14:paraId="55B9B88B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</w:pPr>
    </w:p>
    <w:p w14:paraId="50E97E04" w14:textId="77777777" w:rsidR="000E3156" w:rsidRPr="000E3156" w:rsidRDefault="000E3156" w:rsidP="000E3156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14:ligatures w14:val="none"/>
        </w:rPr>
      </w:pPr>
    </w:p>
    <w:p w14:paraId="28945145" w14:textId="77777777" w:rsidR="000E3156" w:rsidRPr="000E3156" w:rsidRDefault="000E3156" w:rsidP="000E3156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[local], [data]</w:t>
      </w:r>
    </w:p>
    <w:p w14:paraId="5CFE9A88" w14:textId="77777777" w:rsidR="000E3156" w:rsidRPr="000E3156" w:rsidRDefault="000E3156" w:rsidP="000E3156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__________________________________________</w:t>
      </w:r>
    </w:p>
    <w:p w14:paraId="2E7B44C6" w14:textId="77777777" w:rsidR="000E3156" w:rsidRPr="000E3156" w:rsidRDefault="000E3156" w:rsidP="000E3156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[Nome e assinatura do operador]</w:t>
      </w:r>
    </w:p>
    <w:p w14:paraId="4A0A32F3" w14:textId="77777777" w:rsidR="000E3156" w:rsidRPr="000E3156" w:rsidRDefault="000E3156" w:rsidP="000E3156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__________________________________________</w:t>
      </w:r>
    </w:p>
    <w:p w14:paraId="04517803" w14:textId="77777777" w:rsidR="000E3156" w:rsidRPr="000E3156" w:rsidRDefault="000E3156" w:rsidP="000E3156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t>[Nome e assinatura da firma]</w:t>
      </w:r>
    </w:p>
    <w:p w14:paraId="4475B580" w14:textId="77777777" w:rsidR="000E3156" w:rsidRPr="000E3156" w:rsidRDefault="000E3156" w:rsidP="000E3156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lang w:val="la-Latn"/>
          <w14:ligatures w14:val="none"/>
        </w:rPr>
        <w:lastRenderedPageBreak/>
        <w:t>__________________________________________</w:t>
      </w:r>
    </w:p>
    <w:p w14:paraId="72C0C1FE" w14:textId="77777777" w:rsidR="000E3156" w:rsidRPr="000E3156" w:rsidRDefault="000E3156" w:rsidP="000E3156">
      <w:pPr>
        <w:spacing w:before="120" w:after="120" w:line="360" w:lineRule="auto"/>
        <w:jc w:val="center"/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[Nome e assinatura do PN ou PNP responsável]</w:t>
      </w:r>
    </w:p>
    <w:p w14:paraId="67DF2CF3" w14:textId="77777777" w:rsidR="000E3156" w:rsidRPr="000E3156" w:rsidRDefault="000E3156" w:rsidP="000E3156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:szCs w:val="22"/>
          <w14:ligatures w14:val="none"/>
        </w:rPr>
      </w:pPr>
      <w:r w:rsidRPr="000E3156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>__________________________________________</w:t>
      </w:r>
    </w:p>
    <w:p w14:paraId="77CC53E5" w14:textId="77777777" w:rsidR="000E3156" w:rsidRPr="000E3156" w:rsidRDefault="000E3156" w:rsidP="000E3156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14:ligatures w14:val="none"/>
        </w:rPr>
      </w:pPr>
    </w:p>
    <w:p w14:paraId="74BB6E6D" w14:textId="77777777" w:rsidR="000E3156" w:rsidRPr="000E3156" w:rsidRDefault="000E3156" w:rsidP="000E3156">
      <w:pPr>
        <w:spacing w:before="120" w:after="120" w:line="360" w:lineRule="auto"/>
        <w:jc w:val="both"/>
        <w:rPr>
          <w:rFonts w:ascii="Segoe UI" w:eastAsia="Segoe UI" w:hAnsi="Segoe UI" w:cs="Times New Roman"/>
          <w:color w:val="4B5055"/>
          <w:sz w:val="20"/>
          <w:u w:val="single"/>
          <w:lang w:val="la-Latn"/>
        </w:rPr>
      </w:pPr>
    </w:p>
    <w:p w14:paraId="55A1D684" w14:textId="77777777" w:rsidR="00A23C4F" w:rsidRDefault="00A23C4F"/>
    <w:sectPr w:rsidR="00A23C4F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4348" w14:textId="77777777" w:rsidR="00DF3358" w:rsidRDefault="00DF3358" w:rsidP="000E3156">
      <w:pPr>
        <w:spacing w:after="0" w:line="240" w:lineRule="auto"/>
      </w:pPr>
      <w:r>
        <w:separator/>
      </w:r>
    </w:p>
  </w:endnote>
  <w:endnote w:type="continuationSeparator" w:id="0">
    <w:p w14:paraId="7F25D62B" w14:textId="77777777" w:rsidR="00DF3358" w:rsidRDefault="00DF3358" w:rsidP="000E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F58F" w14:textId="032794C6" w:rsidR="000E3156" w:rsidRDefault="000E315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83232F" wp14:editId="1B9D2B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04795" cy="370205"/>
              <wp:effectExtent l="0" t="0" r="14605" b="0"/>
              <wp:wrapNone/>
              <wp:docPr id="558544790" name="Caixa de Texto 2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BB451" w14:textId="7A3184ED" w:rsidR="000E3156" w:rsidRPr="000E3156" w:rsidRDefault="000E3156" w:rsidP="000E31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1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3232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INTERNA – INTERNAL INFORMATION" style="position:absolute;margin-left:0;margin-top:0;width:220.8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4ABB451" w14:textId="7A3184ED" w:rsidR="000E3156" w:rsidRPr="000E3156" w:rsidRDefault="000E3156" w:rsidP="000E31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1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7B5D" w14:textId="10AE050A" w:rsidR="000E3156" w:rsidRDefault="000E315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03F7F7" wp14:editId="6E9D8B87">
              <wp:simplePos x="10763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04795" cy="370205"/>
              <wp:effectExtent l="0" t="0" r="14605" b="0"/>
              <wp:wrapNone/>
              <wp:docPr id="543164134" name="Caixa de Texto 3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06F4D" w14:textId="6FFAA3C7" w:rsidR="000E3156" w:rsidRPr="000E3156" w:rsidRDefault="000E3156" w:rsidP="000E31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1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3F7F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INTERNA – INTERNAL INFORMATION" style="position:absolute;margin-left:0;margin-top:0;width:220.8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1406F4D" w14:textId="6FFAA3C7" w:rsidR="000E3156" w:rsidRPr="000E3156" w:rsidRDefault="000E3156" w:rsidP="000E31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1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0351" w14:textId="3F64273E" w:rsidR="000E3156" w:rsidRDefault="000E315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425A4E" wp14:editId="42E3D5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04795" cy="370205"/>
              <wp:effectExtent l="0" t="0" r="14605" b="0"/>
              <wp:wrapNone/>
              <wp:docPr id="679920750" name="Caixa de Texto 1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63C66" w14:textId="2067E3A8" w:rsidR="000E3156" w:rsidRPr="000E3156" w:rsidRDefault="000E3156" w:rsidP="000E31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1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25A4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INTERNA – INTERNAL INFORMATION" style="position:absolute;margin-left:0;margin-top:0;width:220.8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CA63C66" w14:textId="2067E3A8" w:rsidR="000E3156" w:rsidRPr="000E3156" w:rsidRDefault="000E3156" w:rsidP="000E31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1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DA1E" w14:textId="77777777" w:rsidR="00DF3358" w:rsidRDefault="00DF3358" w:rsidP="000E3156">
      <w:pPr>
        <w:spacing w:after="0" w:line="240" w:lineRule="auto"/>
      </w:pPr>
      <w:r>
        <w:separator/>
      </w:r>
    </w:p>
  </w:footnote>
  <w:footnote w:type="continuationSeparator" w:id="0">
    <w:p w14:paraId="3E05519A" w14:textId="77777777" w:rsidR="00DF3358" w:rsidRDefault="00DF3358" w:rsidP="000E3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8E718"/>
    <w:multiLevelType w:val="hybridMultilevel"/>
    <w:tmpl w:val="52D41A44"/>
    <w:lvl w:ilvl="0" w:tplc="CBA64A10">
      <w:start w:val="1"/>
      <w:numFmt w:val="decimal"/>
      <w:lvlText w:val="%1."/>
      <w:lvlJc w:val="left"/>
      <w:pPr>
        <w:ind w:left="720" w:hanging="360"/>
      </w:pPr>
    </w:lvl>
    <w:lvl w:ilvl="1" w:tplc="A580D244">
      <w:start w:val="1"/>
      <w:numFmt w:val="lowerLetter"/>
      <w:lvlText w:val="%2."/>
      <w:lvlJc w:val="left"/>
      <w:pPr>
        <w:ind w:left="1440" w:hanging="360"/>
      </w:pPr>
    </w:lvl>
    <w:lvl w:ilvl="2" w:tplc="15B2C7BA">
      <w:start w:val="1"/>
      <w:numFmt w:val="lowerRoman"/>
      <w:lvlText w:val="%3."/>
      <w:lvlJc w:val="right"/>
      <w:pPr>
        <w:ind w:left="2160" w:hanging="180"/>
      </w:pPr>
    </w:lvl>
    <w:lvl w:ilvl="3" w:tplc="D0528FD8">
      <w:start w:val="1"/>
      <w:numFmt w:val="decimal"/>
      <w:lvlText w:val="%4."/>
      <w:lvlJc w:val="left"/>
      <w:pPr>
        <w:ind w:left="2880" w:hanging="360"/>
      </w:pPr>
    </w:lvl>
    <w:lvl w:ilvl="4" w:tplc="E0965E00">
      <w:start w:val="1"/>
      <w:numFmt w:val="lowerLetter"/>
      <w:lvlText w:val="%5."/>
      <w:lvlJc w:val="left"/>
      <w:pPr>
        <w:ind w:left="3600" w:hanging="360"/>
      </w:pPr>
    </w:lvl>
    <w:lvl w:ilvl="5" w:tplc="BC72D3AC">
      <w:start w:val="1"/>
      <w:numFmt w:val="lowerRoman"/>
      <w:lvlText w:val="%6."/>
      <w:lvlJc w:val="right"/>
      <w:pPr>
        <w:ind w:left="4320" w:hanging="180"/>
      </w:pPr>
    </w:lvl>
    <w:lvl w:ilvl="6" w:tplc="0630D730">
      <w:start w:val="1"/>
      <w:numFmt w:val="decimal"/>
      <w:lvlText w:val="%7."/>
      <w:lvlJc w:val="left"/>
      <w:pPr>
        <w:ind w:left="5040" w:hanging="360"/>
      </w:pPr>
    </w:lvl>
    <w:lvl w:ilvl="7" w:tplc="D6DA1666">
      <w:start w:val="1"/>
      <w:numFmt w:val="lowerLetter"/>
      <w:lvlText w:val="%8."/>
      <w:lvlJc w:val="left"/>
      <w:pPr>
        <w:ind w:left="5760" w:hanging="360"/>
      </w:pPr>
    </w:lvl>
    <w:lvl w:ilvl="8" w:tplc="A9CCA4E8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1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56"/>
    <w:rsid w:val="000E3156"/>
    <w:rsid w:val="00233B11"/>
    <w:rsid w:val="00A23C4F"/>
    <w:rsid w:val="00D8336F"/>
    <w:rsid w:val="00DF3358"/>
    <w:rsid w:val="00E3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3904"/>
  <w15:chartTrackingRefBased/>
  <w15:docId w15:val="{32DA3C4A-CDD9-40D3-A88B-25CE73E9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1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1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1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1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1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1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1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1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1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1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156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0E3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aeda764-ac5d-4c78-8b24-fe1405747852}" enabled="1" method="Standar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Luis Martins Da Silva</dc:creator>
  <cp:keywords/>
  <dc:description/>
  <cp:lastModifiedBy>Danilo Luis Martins Da Silva</cp:lastModifiedBy>
  <cp:revision>1</cp:revision>
  <dcterms:created xsi:type="dcterms:W3CDTF">2026-01-19T17:06:00Z</dcterms:created>
  <dcterms:modified xsi:type="dcterms:W3CDTF">2026-01-19T17:10:00Z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2886c46e,214ab796,206006e6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INTERNA – INTERNAL INFORMATION</vt:lpwstr>
  </property>
</Properties>
</file>